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jc w:val="center"/>
        <w:rPr>
          <w:color w:val="063352"/>
          <w:sz w:val="28"/>
          <w:szCs w:val="28"/>
          <w:bdr w:val="none" w:sz="0" w:space="0" w:color="auto" w:frame="1"/>
        </w:rPr>
      </w:pPr>
      <w:r w:rsidRPr="00631F98">
        <w:rPr>
          <w:color w:val="063352"/>
          <w:sz w:val="28"/>
          <w:szCs w:val="28"/>
        </w:rPr>
        <w:t>Перечень мероприятий по реализации генерального плана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  <w:bdr w:val="none" w:sz="0" w:space="0" w:color="auto" w:frame="1"/>
        </w:rPr>
      </w:pP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>Предложения по реализации Генерального плана включают рекомендации по размещению зон перспективного развития и планируемым объемам жилищного строительства, по размещению объектов социальной, инженерной и транспортной инфраструктур.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>Основные мероприятия по этапам их реализации: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>1. </w:t>
      </w:r>
      <w:r w:rsidRPr="00631F98">
        <w:rPr>
          <w:rStyle w:val="a4"/>
          <w:b w:val="0"/>
          <w:bCs w:val="0"/>
          <w:color w:val="063352"/>
          <w:sz w:val="28"/>
          <w:szCs w:val="28"/>
          <w:bdr w:val="none" w:sz="0" w:space="0" w:color="auto" w:frame="1"/>
        </w:rPr>
        <w:t>В ближайшие годы (на обозримый период):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>● создание условий для развития социальной инфраструктуры, в первую очередь, развития жилищного строительства;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>● развитие инженерно-транспортной инфраструктуры;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proofErr w:type="gramStart"/>
      <w:r w:rsidRPr="00631F98">
        <w:rPr>
          <w:color w:val="063352"/>
          <w:sz w:val="28"/>
          <w:szCs w:val="28"/>
          <w:bdr w:val="none" w:sz="0" w:space="0" w:color="auto" w:frame="1"/>
        </w:rPr>
        <w:t>● разработка и утверждение генеральной схемы очистки территории городского округа (Реализация «Концепции обращения с твердыми коммунальными отходами в Челябинской области на 2007-2010 годы».</w:t>
      </w:r>
      <w:proofErr w:type="gramEnd"/>
      <w:r w:rsidRPr="00631F98">
        <w:rPr>
          <w:color w:val="06335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31F98">
        <w:rPr>
          <w:color w:val="063352"/>
          <w:sz w:val="28"/>
          <w:szCs w:val="28"/>
          <w:bdr w:val="none" w:sz="0" w:space="0" w:color="auto" w:frame="1"/>
        </w:rPr>
        <w:t>Постановление Правительства Челябинской области от 23.03.2007 г. № 61-п);</w:t>
      </w:r>
      <w:proofErr w:type="gramEnd"/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>● разработка проектов санитарно-защитных зон промышленных производств и объектов с установлением окончательного размера СЗЗ;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 xml:space="preserve">● размещение и развитие спортивно-туристических и </w:t>
      </w:r>
      <w:proofErr w:type="spellStart"/>
      <w:proofErr w:type="gramStart"/>
      <w:r w:rsidRPr="00631F98">
        <w:rPr>
          <w:color w:val="063352"/>
          <w:sz w:val="28"/>
          <w:szCs w:val="28"/>
          <w:bdr w:val="none" w:sz="0" w:space="0" w:color="auto" w:frame="1"/>
        </w:rPr>
        <w:t>горно-лыжных</w:t>
      </w:r>
      <w:proofErr w:type="spellEnd"/>
      <w:proofErr w:type="gramEnd"/>
      <w:r w:rsidRPr="00631F98">
        <w:rPr>
          <w:color w:val="063352"/>
          <w:sz w:val="28"/>
          <w:szCs w:val="28"/>
          <w:bdr w:val="none" w:sz="0" w:space="0" w:color="auto" w:frame="1"/>
        </w:rPr>
        <w:t xml:space="preserve"> центров, культурно-оздоровительных комплексов;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>● развитие малого бизнеса, предпринимательства (в сфере туризма, социального обслуживания, придорожного обслуживания на автодорогах округа и т.д.);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>● развитие мест приложения труда вне населенных пунктов (размещение новых производств в местах залегания полезных ископаемых, размещение площадок, баз стройиндустрии для реализации намеченных объемов строительства);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 xml:space="preserve">● выполнение </w:t>
      </w:r>
      <w:proofErr w:type="spellStart"/>
      <w:proofErr w:type="gramStart"/>
      <w:r w:rsidRPr="00631F98">
        <w:rPr>
          <w:color w:val="063352"/>
          <w:sz w:val="28"/>
          <w:szCs w:val="28"/>
          <w:bdr w:val="none" w:sz="0" w:space="0" w:color="auto" w:frame="1"/>
        </w:rPr>
        <w:t>топо-геодезической</w:t>
      </w:r>
      <w:proofErr w:type="spellEnd"/>
      <w:proofErr w:type="gramEnd"/>
      <w:r w:rsidRPr="00631F98">
        <w:rPr>
          <w:color w:val="063352"/>
          <w:sz w:val="28"/>
          <w:szCs w:val="28"/>
          <w:bdr w:val="none" w:sz="0" w:space="0" w:color="auto" w:frame="1"/>
        </w:rPr>
        <w:t xml:space="preserve"> съемки соответствующего масштаба для разработки проектов планировки по населенным пунктам округа.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rStyle w:val="a4"/>
          <w:b w:val="0"/>
          <w:bCs w:val="0"/>
          <w:color w:val="063352"/>
          <w:sz w:val="28"/>
          <w:szCs w:val="28"/>
          <w:bdr w:val="none" w:sz="0" w:space="0" w:color="auto" w:frame="1"/>
        </w:rPr>
        <w:t>2. В долгосрочном периоде: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>● развитие базы подготовки специалистов среднего и высшего уровней;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>● развитие научно-технической базы для размещения высокотехнологичных, экологически чистых производств.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 xml:space="preserve">Объем предложенных градостроительных мероприятий предполагает обеспечение взаимоувязанного развития всех территорий округа и рассчитан на реализацию с </w:t>
      </w:r>
      <w:proofErr w:type="gramStart"/>
      <w:r w:rsidRPr="00631F98">
        <w:rPr>
          <w:color w:val="063352"/>
          <w:sz w:val="28"/>
          <w:szCs w:val="28"/>
          <w:bdr w:val="none" w:sz="0" w:space="0" w:color="auto" w:frame="1"/>
        </w:rPr>
        <w:t>привлечением</w:t>
      </w:r>
      <w:proofErr w:type="gramEnd"/>
      <w:r w:rsidRPr="00631F98">
        <w:rPr>
          <w:color w:val="063352"/>
          <w:sz w:val="28"/>
          <w:szCs w:val="28"/>
          <w:bdr w:val="none" w:sz="0" w:space="0" w:color="auto" w:frame="1"/>
        </w:rPr>
        <w:t xml:space="preserve"> как бюджетных средств, так и частного капитала.</w:t>
      </w:r>
    </w:p>
    <w:p w:rsidR="00631F98" w:rsidRPr="00631F98" w:rsidRDefault="00631F98" w:rsidP="00631F98">
      <w:pPr>
        <w:pStyle w:val="a3"/>
        <w:spacing w:before="0" w:beforeAutospacing="0" w:after="0" w:afterAutospacing="0" w:line="283" w:lineRule="atLeast"/>
        <w:rPr>
          <w:color w:val="063352"/>
          <w:sz w:val="28"/>
          <w:szCs w:val="28"/>
        </w:rPr>
      </w:pPr>
      <w:r w:rsidRPr="00631F98">
        <w:rPr>
          <w:color w:val="063352"/>
          <w:sz w:val="28"/>
          <w:szCs w:val="28"/>
          <w:bdr w:val="none" w:sz="0" w:space="0" w:color="auto" w:frame="1"/>
        </w:rPr>
        <w:t xml:space="preserve">Для реализации комплекса предполагаемых мероприятий необходимо выполнить предложения по формированию целевых программ, детальная проработка которых должна быть возложена на различные административные и хозяйственные службы </w:t>
      </w:r>
      <w:proofErr w:type="spellStart"/>
      <w:r w:rsidRPr="00631F98">
        <w:rPr>
          <w:color w:val="063352"/>
          <w:sz w:val="28"/>
          <w:szCs w:val="28"/>
          <w:bdr w:val="none" w:sz="0" w:space="0" w:color="auto" w:frame="1"/>
        </w:rPr>
        <w:t>Кыштымского</w:t>
      </w:r>
      <w:proofErr w:type="spellEnd"/>
      <w:r w:rsidRPr="00631F98">
        <w:rPr>
          <w:color w:val="063352"/>
          <w:sz w:val="28"/>
          <w:szCs w:val="28"/>
          <w:bdr w:val="none" w:sz="0" w:space="0" w:color="auto" w:frame="1"/>
        </w:rPr>
        <w:t xml:space="preserve"> городского округа.</w:t>
      </w:r>
    </w:p>
    <w:p w:rsidR="00155164" w:rsidRPr="00631F98" w:rsidRDefault="00155164">
      <w:pPr>
        <w:rPr>
          <w:rFonts w:ascii="Times New Roman" w:hAnsi="Times New Roman" w:cs="Times New Roman"/>
          <w:sz w:val="28"/>
          <w:szCs w:val="28"/>
        </w:rPr>
      </w:pPr>
    </w:p>
    <w:sectPr w:rsidR="00155164" w:rsidRPr="00631F98" w:rsidSect="0015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F98"/>
    <w:rsid w:val="00155164"/>
    <w:rsid w:val="0063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PowerCool</dc:creator>
  <cp:lastModifiedBy>PowerCool</cp:lastModifiedBy>
  <cp:revision>1</cp:revision>
  <dcterms:created xsi:type="dcterms:W3CDTF">2018-06-26T05:05:00Z</dcterms:created>
  <dcterms:modified xsi:type="dcterms:W3CDTF">2018-06-26T05:05:00Z</dcterms:modified>
</cp:coreProperties>
</file>